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7532" w14:textId="77777777" w:rsidR="00B80ADA" w:rsidRPr="00D708CE" w:rsidRDefault="00B80ADA" w:rsidP="00B8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TARIFICATION 2020-2021</w:t>
      </w:r>
    </w:p>
    <w:p w14:paraId="1D17F541" w14:textId="77777777" w:rsidR="00B80ADA" w:rsidRPr="0039637A" w:rsidRDefault="00B80ADA" w:rsidP="00B8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637A">
        <w:rPr>
          <w:rFonts w:ascii="Arial" w:hAnsi="Arial" w:cs="Arial"/>
        </w:rPr>
        <w:t xml:space="preserve">Un rabais de </w:t>
      </w:r>
      <w:r>
        <w:rPr>
          <w:rFonts w:ascii="Arial" w:hAnsi="Arial" w:cs="Arial"/>
        </w:rPr>
        <w:t>20</w:t>
      </w:r>
      <w:r w:rsidRPr="0039637A">
        <w:rPr>
          <w:rFonts w:ascii="Arial" w:hAnsi="Arial" w:cs="Arial"/>
        </w:rPr>
        <w:t> $ est accordé par enfant additionnel d’une même famille.</w:t>
      </w:r>
    </w:p>
    <w:p w14:paraId="3B287C48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637A">
        <w:rPr>
          <w:rFonts w:ascii="Arial" w:hAnsi="Arial" w:cs="Arial"/>
        </w:rPr>
        <w:t xml:space="preserve">Des frais de </w:t>
      </w:r>
      <w:r>
        <w:rPr>
          <w:rFonts w:ascii="Arial" w:hAnsi="Arial" w:cs="Arial"/>
        </w:rPr>
        <w:t>15</w:t>
      </w:r>
      <w:r w:rsidRPr="0039637A">
        <w:rPr>
          <w:rFonts w:ascii="Arial" w:hAnsi="Arial" w:cs="Arial"/>
        </w:rPr>
        <w:t> $ seront appliqués pour les chèques sans provision.</w:t>
      </w:r>
    </w:p>
    <w:p w14:paraId="1B349C71" w14:textId="77777777" w:rsidR="00B80ADA" w:rsidRPr="00C86C16" w:rsidRDefault="00B80ADA" w:rsidP="00B8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-Des frais de 20 $ s’appliqueront aux patineurs de niveaux récréatif et plus qui s’inscriront après la date limite étant </w:t>
      </w:r>
      <w:r>
        <w:rPr>
          <w:rFonts w:ascii="Arial" w:hAnsi="Arial" w:cs="Arial"/>
          <w:u w:val="single"/>
        </w:rPr>
        <w:t>cinq jours</w:t>
      </w:r>
      <w:r w:rsidRPr="000D2130">
        <w:rPr>
          <w:rFonts w:ascii="Arial" w:hAnsi="Arial" w:cs="Arial"/>
          <w:u w:val="single"/>
        </w:rPr>
        <w:t xml:space="preserve"> avant le début du premier cours</w:t>
      </w:r>
      <w:r w:rsidRPr="00194AEA">
        <w:rPr>
          <w:rFonts w:ascii="Arial" w:hAnsi="Arial" w:cs="Arial"/>
        </w:rPr>
        <w:t>. (N/A cette année)</w:t>
      </w:r>
    </w:p>
    <w:p w14:paraId="4C625D10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</w:p>
    <w:p w14:paraId="7499099F" w14:textId="77777777" w:rsidR="00B80ADA" w:rsidRPr="00921DDB" w:rsidRDefault="00B80ADA" w:rsidP="00B80A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29DB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Cotisation pour la saison régulière</w:t>
      </w:r>
    </w:p>
    <w:p w14:paraId="2E131EA9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</w:p>
    <w:p w14:paraId="2E8C03A6" w14:textId="77777777" w:rsidR="00B80ADA" w:rsidRPr="007F307F" w:rsidRDefault="00B80ADA" w:rsidP="00B8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cotisation pour la saison régulière est pour une période couvrant de septembre 2020 à avril 2021.  </w:t>
      </w:r>
    </w:p>
    <w:p w14:paraId="4C74D15E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</w:p>
    <w:p w14:paraId="3890E9BA" w14:textId="77777777" w:rsidR="00B80ADA" w:rsidRPr="00324D76" w:rsidRDefault="00B80ADA" w:rsidP="00B80ADA">
      <w:pPr>
        <w:spacing w:after="0" w:line="240" w:lineRule="auto"/>
        <w:jc w:val="both"/>
        <w:rPr>
          <w:rFonts w:ascii="Arial" w:hAnsi="Arial" w:cs="Arial"/>
        </w:rPr>
      </w:pPr>
      <w:r w:rsidRPr="00324D76">
        <w:rPr>
          <w:rFonts w:ascii="Arial" w:hAnsi="Arial" w:cs="Arial"/>
        </w:rPr>
        <w:t>Un patineur qui change d</w:t>
      </w:r>
      <w:r>
        <w:rPr>
          <w:rFonts w:ascii="Arial" w:hAnsi="Arial" w:cs="Arial"/>
        </w:rPr>
        <w:t>e niveau en cours d’année</w:t>
      </w:r>
      <w:r w:rsidRPr="00324D76">
        <w:rPr>
          <w:rFonts w:ascii="Arial" w:hAnsi="Arial" w:cs="Arial"/>
        </w:rPr>
        <w:t xml:space="preserve"> devra débourser la différence du coût</w:t>
      </w:r>
      <w:r>
        <w:rPr>
          <w:rFonts w:ascii="Arial" w:hAnsi="Arial" w:cs="Arial"/>
        </w:rPr>
        <w:t xml:space="preserve"> exigé pour ce nouveau groupe.  La différence exigée sera calculée au prorata du temps écoulé</w:t>
      </w:r>
      <w:r w:rsidRPr="00324D76">
        <w:rPr>
          <w:rFonts w:ascii="Arial" w:hAnsi="Arial" w:cs="Arial"/>
        </w:rPr>
        <w:t>.</w:t>
      </w:r>
    </w:p>
    <w:p w14:paraId="2A635199" w14:textId="77777777" w:rsidR="00B80ADA" w:rsidRDefault="00B80ADA" w:rsidP="00B80ADA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3F3E29EE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  <w:r w:rsidRPr="0039142D">
        <w:rPr>
          <w:rFonts w:ascii="Arial" w:hAnsi="Arial" w:cs="Arial"/>
          <w:b/>
        </w:rPr>
        <w:t>Le remboursement d’inscription</w:t>
      </w:r>
      <w:r>
        <w:rPr>
          <w:rFonts w:ascii="Arial" w:hAnsi="Arial" w:cs="Arial"/>
        </w:rPr>
        <w:t xml:space="preserve"> sera accordé seulement aux demandes faites avant le </w:t>
      </w:r>
      <w:r w:rsidRPr="001A13EE">
        <w:rPr>
          <w:rFonts w:ascii="Arial" w:hAnsi="Arial" w:cs="Arial"/>
          <w:u w:val="single"/>
        </w:rPr>
        <w:t>31 octobre</w:t>
      </w:r>
      <w:r w:rsidRPr="00710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sera </w:t>
      </w:r>
      <w:r w:rsidRPr="007100C7">
        <w:rPr>
          <w:rFonts w:ascii="Arial" w:hAnsi="Arial" w:cs="Arial"/>
        </w:rPr>
        <w:t xml:space="preserve">fixé à </w:t>
      </w:r>
      <w:r>
        <w:rPr>
          <w:rFonts w:ascii="Arial" w:hAnsi="Arial" w:cs="Arial"/>
        </w:rPr>
        <w:t>75 % du coût de l’inscription</w:t>
      </w:r>
      <w:r w:rsidRPr="007100C7">
        <w:rPr>
          <w:rFonts w:ascii="Arial" w:hAnsi="Arial" w:cs="Arial"/>
        </w:rPr>
        <w:t xml:space="preserve"> moins </w:t>
      </w:r>
      <w:r>
        <w:rPr>
          <w:rFonts w:ascii="Arial" w:hAnsi="Arial" w:cs="Arial"/>
        </w:rPr>
        <w:t>45 </w:t>
      </w:r>
      <w:r w:rsidRPr="007100C7">
        <w:rPr>
          <w:rFonts w:ascii="Arial" w:hAnsi="Arial" w:cs="Arial"/>
        </w:rPr>
        <w:t xml:space="preserve">$ pour les frais d’affiliation à Patinage Canada. </w:t>
      </w:r>
      <w:r>
        <w:rPr>
          <w:rFonts w:ascii="Arial" w:hAnsi="Arial" w:cs="Arial"/>
        </w:rPr>
        <w:t>Après cette date, aucun remboursement ne sera accordé.</w:t>
      </w:r>
    </w:p>
    <w:p w14:paraId="4EDB7703" w14:textId="77777777" w:rsidR="00B80ADA" w:rsidRPr="007100C7" w:rsidRDefault="00B80ADA" w:rsidP="00B80ADA">
      <w:pPr>
        <w:spacing w:after="0" w:line="240" w:lineRule="auto"/>
        <w:jc w:val="both"/>
        <w:rPr>
          <w:rFonts w:ascii="Arial" w:hAnsi="Arial" w:cs="Arial"/>
        </w:rPr>
      </w:pPr>
    </w:p>
    <w:p w14:paraId="547188FA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</w:tblGrid>
      <w:tr w:rsidR="00B80ADA" w14:paraId="0DED3617" w14:textId="77777777" w:rsidTr="007E0675">
        <w:tc>
          <w:tcPr>
            <w:tcW w:w="4111" w:type="dxa"/>
            <w:shd w:val="clear" w:color="auto" w:fill="BFBFBF" w:themeFill="background1" w:themeFillShade="BF"/>
          </w:tcPr>
          <w:p w14:paraId="22A0C553" w14:textId="77777777" w:rsidR="00B80ADA" w:rsidRPr="003549EA" w:rsidRDefault="00B80ADA" w:rsidP="007E0675">
            <w:pPr>
              <w:jc w:val="both"/>
              <w:rPr>
                <w:rFonts w:ascii="Arial" w:hAnsi="Arial" w:cs="Arial"/>
                <w:b/>
              </w:rPr>
            </w:pPr>
            <w:r w:rsidRPr="003549EA">
              <w:rPr>
                <w:rFonts w:ascii="Arial" w:hAnsi="Arial" w:cs="Arial"/>
                <w:b/>
              </w:rPr>
              <w:t>GROUPE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CBEC737" w14:textId="77777777" w:rsidR="00B80ADA" w:rsidRPr="003549EA" w:rsidRDefault="00B80ADA" w:rsidP="007E06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COÛ</w:t>
            </w:r>
            <w:r w:rsidRPr="003549EA">
              <w:rPr>
                <w:rFonts w:ascii="Arial" w:hAnsi="Arial" w:cs="Arial"/>
                <w:b/>
              </w:rPr>
              <w:t>T</w:t>
            </w:r>
          </w:p>
        </w:tc>
      </w:tr>
      <w:tr w:rsidR="00B80ADA" w14:paraId="3F59E12D" w14:textId="77777777" w:rsidTr="007E0675">
        <w:tc>
          <w:tcPr>
            <w:tcW w:w="4111" w:type="dxa"/>
          </w:tcPr>
          <w:p w14:paraId="6040D12B" w14:textId="77777777" w:rsidR="00B80ADA" w:rsidRDefault="00B80ADA" w:rsidP="007E0675">
            <w:pPr>
              <w:tabs>
                <w:tab w:val="left" w:pos="1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Écusson :  </w:t>
            </w:r>
          </w:p>
          <w:p w14:paraId="31A53D08" w14:textId="77777777" w:rsidR="00B80ADA" w:rsidRDefault="00B80ADA" w:rsidP="007E0675">
            <w:pPr>
              <w:tabs>
                <w:tab w:val="left" w:pos="1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-Pré Patinage Plus (3-4 ans</w:t>
            </w:r>
            <w:r w:rsidRPr="00283199">
              <w:rPr>
                <w:rFonts w:ascii="Arial" w:hAnsi="Arial" w:cs="Arial"/>
              </w:rPr>
              <w:t>)</w:t>
            </w:r>
          </w:p>
          <w:p w14:paraId="2B2330A7" w14:textId="77777777" w:rsidR="00B80ADA" w:rsidRDefault="00B80ADA" w:rsidP="007E0675">
            <w:pPr>
              <w:tabs>
                <w:tab w:val="left" w:pos="1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-Patinage Plus</w:t>
            </w:r>
          </w:p>
        </w:tc>
        <w:tc>
          <w:tcPr>
            <w:tcW w:w="1559" w:type="dxa"/>
          </w:tcPr>
          <w:p w14:paraId="000E3ADB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</w:p>
          <w:p w14:paraId="3CF4A246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</w:t>
            </w:r>
            <w:r w:rsidRPr="00463009">
              <w:rPr>
                <w:rFonts w:ascii="Arial" w:hAnsi="Arial" w:cs="Arial"/>
              </w:rPr>
              <w:t>$</w:t>
            </w:r>
          </w:p>
          <w:p w14:paraId="1002328C" w14:textId="77777777" w:rsidR="00B80ADA" w:rsidRPr="005B10E8" w:rsidRDefault="00B80ADA" w:rsidP="007E0675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230 $</w:t>
            </w:r>
          </w:p>
        </w:tc>
      </w:tr>
      <w:tr w:rsidR="00B80ADA" w14:paraId="20009D49" w14:textId="77777777" w:rsidTr="007E0675">
        <w:tc>
          <w:tcPr>
            <w:tcW w:w="4111" w:type="dxa"/>
          </w:tcPr>
          <w:p w14:paraId="76205DA7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Récréatif</w:t>
            </w:r>
          </w:p>
        </w:tc>
        <w:tc>
          <w:tcPr>
            <w:tcW w:w="1559" w:type="dxa"/>
          </w:tcPr>
          <w:p w14:paraId="52B5B57F" w14:textId="77777777" w:rsidR="00B80ADA" w:rsidRPr="005B10E8" w:rsidRDefault="00B80ADA" w:rsidP="007E0675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310 </w:t>
            </w:r>
            <w:r w:rsidRPr="00463009">
              <w:rPr>
                <w:rFonts w:ascii="Arial" w:hAnsi="Arial" w:cs="Arial"/>
              </w:rPr>
              <w:t>$</w:t>
            </w:r>
          </w:p>
        </w:tc>
      </w:tr>
      <w:tr w:rsidR="00B80ADA" w14:paraId="702FA49D" w14:textId="77777777" w:rsidTr="007E0675">
        <w:tc>
          <w:tcPr>
            <w:tcW w:w="4111" w:type="dxa"/>
          </w:tcPr>
          <w:p w14:paraId="529EAC52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/ Compétitif :</w:t>
            </w:r>
          </w:p>
          <w:p w14:paraId="2C45A579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-Star 1-2 </w:t>
            </w:r>
          </w:p>
          <w:p w14:paraId="06E9EB14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-Star 3-4 / Groupe compétitif sans limite</w:t>
            </w:r>
          </w:p>
          <w:p w14:paraId="56EC02C1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-Star 5 / Autres groupes compétitifs</w:t>
            </w:r>
          </w:p>
        </w:tc>
        <w:tc>
          <w:tcPr>
            <w:tcW w:w="1559" w:type="dxa"/>
          </w:tcPr>
          <w:p w14:paraId="37329190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</w:p>
          <w:p w14:paraId="2A0706EC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310 </w:t>
            </w:r>
            <w:r w:rsidRPr="00463009">
              <w:rPr>
                <w:rFonts w:ascii="Arial" w:hAnsi="Arial" w:cs="Arial"/>
              </w:rPr>
              <w:t>$</w:t>
            </w:r>
          </w:p>
          <w:p w14:paraId="6AA15BC1" w14:textId="77777777" w:rsidR="00B80ADA" w:rsidRDefault="00B80ADA" w:rsidP="007E0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310 $</w:t>
            </w:r>
          </w:p>
          <w:p w14:paraId="4B49FB04" w14:textId="77777777" w:rsidR="00B80ADA" w:rsidRPr="005B10E8" w:rsidRDefault="00B80ADA" w:rsidP="007E0675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330 $</w:t>
            </w:r>
          </w:p>
        </w:tc>
      </w:tr>
    </w:tbl>
    <w:p w14:paraId="6ECB04E8" w14:textId="77777777" w:rsidR="00B80ADA" w:rsidRDefault="00B80ADA" w:rsidP="00B80ADA">
      <w:pPr>
        <w:spacing w:after="0" w:line="240" w:lineRule="auto"/>
        <w:ind w:left="1560"/>
        <w:jc w:val="both"/>
        <w:rPr>
          <w:rFonts w:ascii="Arial" w:hAnsi="Arial" w:cs="Arial"/>
          <w:sz w:val="16"/>
          <w:szCs w:val="16"/>
        </w:rPr>
      </w:pPr>
    </w:p>
    <w:p w14:paraId="7D882B71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</w:p>
    <w:p w14:paraId="6BF7954B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vente de billets de tirage au coût de 5 $ chacun aura aussi lieu avant le spectacle. Un patineur doit vendre entre 10 et 30 billets. Ce nombre dépend du nombre de patineurs.</w:t>
      </w:r>
    </w:p>
    <w:p w14:paraId="14275935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</w:p>
    <w:p w14:paraId="4495FC94" w14:textId="2FE66220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montant sera exigé si un patineur participe au spectacle annuel du CPA Amos, et ce, pour couvrir différentes dépenses reliées à sa participation : location de costume(s), confection de décors, accessoires et autres. Ce montant est de 10 $ pour le niveau écusson (Pré Patinage Plus / Patinage Plus) et de 30 $ pour </w:t>
      </w:r>
      <w:proofErr w:type="gramStart"/>
      <w:r>
        <w:rPr>
          <w:rFonts w:ascii="Arial" w:hAnsi="Arial" w:cs="Arial"/>
        </w:rPr>
        <w:t>les niveaux récréatif</w:t>
      </w:r>
      <w:proofErr w:type="gramEnd"/>
      <w:r>
        <w:rPr>
          <w:rFonts w:ascii="Arial" w:hAnsi="Arial" w:cs="Arial"/>
        </w:rPr>
        <w:t xml:space="preserve"> et plus. La formation des groupes se fait en fonction du groupe d’appartenance de l’athlète au </w:t>
      </w:r>
      <w:r w:rsidRPr="00E05046">
        <w:rPr>
          <w:rFonts w:ascii="Arial" w:hAnsi="Arial" w:cs="Arial"/>
          <w:b/>
        </w:rPr>
        <w:t>31 décembre</w:t>
      </w:r>
      <w:r w:rsidRPr="00621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saison courante.</w:t>
      </w:r>
    </w:p>
    <w:p w14:paraId="344F295C" w14:textId="5BF2900D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</w:p>
    <w:p w14:paraId="1DDEB6D6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  <w:r w:rsidRPr="00990976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lastRenderedPageBreak/>
        <w:t>Reçu pour les crédits d’</w:t>
      </w:r>
      <w:r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impôt</w:t>
      </w:r>
      <w:r w:rsidRPr="00990976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</w:t>
      </w:r>
    </w:p>
    <w:p w14:paraId="0418EFF6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</w:p>
    <w:p w14:paraId="4BBA5708" w14:textId="77777777" w:rsidR="00B80ADA" w:rsidRPr="00656540" w:rsidRDefault="00B80ADA" w:rsidP="00B80ADA">
      <w:pPr>
        <w:spacing w:after="0" w:line="240" w:lineRule="auto"/>
        <w:jc w:val="both"/>
        <w:rPr>
          <w:rFonts w:ascii="Arial" w:hAnsi="Arial" w:cs="Arial"/>
        </w:rPr>
      </w:pPr>
      <w:r w:rsidRPr="00990976">
        <w:rPr>
          <w:rFonts w:ascii="Arial" w:hAnsi="Arial" w:cs="Arial"/>
        </w:rPr>
        <w:t>Veuillez conserver votre reçu émis lors de l’inscription, car il correspond au reçu officiel dans le cadre du programme du crédit d’impôt pour la condition physique des enfants</w:t>
      </w:r>
      <w:r>
        <w:rPr>
          <w:rFonts w:ascii="Arial" w:hAnsi="Arial" w:cs="Arial"/>
        </w:rPr>
        <w:t xml:space="preserve">. </w:t>
      </w:r>
      <w:r w:rsidRPr="00990976">
        <w:rPr>
          <w:rFonts w:ascii="Arial" w:hAnsi="Arial" w:cs="Arial"/>
        </w:rPr>
        <w:t xml:space="preserve">Aucun autre reçu ne vous sera </w:t>
      </w:r>
      <w:r>
        <w:rPr>
          <w:rFonts w:ascii="Arial" w:hAnsi="Arial" w:cs="Arial"/>
        </w:rPr>
        <w:t>remis</w:t>
      </w:r>
      <w:r w:rsidRPr="00990976">
        <w:rPr>
          <w:rFonts w:ascii="Arial" w:hAnsi="Arial" w:cs="Arial"/>
        </w:rPr>
        <w:t>.</w:t>
      </w:r>
    </w:p>
    <w:p w14:paraId="46A99D41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</w:p>
    <w:p w14:paraId="7402AE29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Défaut de paiement</w:t>
      </w:r>
    </w:p>
    <w:p w14:paraId="25E05C26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</w:p>
    <w:p w14:paraId="2B3BDE05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  <w:b/>
        </w:rPr>
      </w:pPr>
      <w:r w:rsidRPr="007071C5">
        <w:rPr>
          <w:rFonts w:ascii="Arial" w:hAnsi="Arial" w:cs="Arial"/>
        </w:rPr>
        <w:t xml:space="preserve">En cas de défaut de paiement, le patineur concerné ne sera pas admissible aux tests </w:t>
      </w:r>
      <w:r>
        <w:rPr>
          <w:rFonts w:ascii="Arial" w:hAnsi="Arial" w:cs="Arial"/>
        </w:rPr>
        <w:t xml:space="preserve">et aux compétitions jusqu’à ce que le montant total de la cotisation soit acquitté ou qu’une entente soit intervenue entre les deux parties. </w:t>
      </w:r>
      <w:r w:rsidRPr="007071C5">
        <w:rPr>
          <w:rFonts w:ascii="Arial" w:hAnsi="Arial" w:cs="Arial"/>
        </w:rPr>
        <w:t>De plus, si cette situation de défaut per</w:t>
      </w:r>
      <w:r>
        <w:rPr>
          <w:rFonts w:ascii="Arial" w:hAnsi="Arial" w:cs="Arial"/>
        </w:rPr>
        <w:t>siste</w:t>
      </w:r>
      <w:r w:rsidRPr="007071C5">
        <w:rPr>
          <w:rFonts w:ascii="Arial" w:hAnsi="Arial" w:cs="Arial"/>
        </w:rPr>
        <w:t xml:space="preserve"> au-delà de 30 jours </w:t>
      </w:r>
      <w:r>
        <w:rPr>
          <w:rFonts w:ascii="Arial" w:hAnsi="Arial" w:cs="Arial"/>
        </w:rPr>
        <w:t>ou de deux</w:t>
      </w:r>
      <w:r w:rsidRPr="007071C5">
        <w:rPr>
          <w:rFonts w:ascii="Arial" w:hAnsi="Arial" w:cs="Arial"/>
        </w:rPr>
        <w:t xml:space="preserve"> avertissements écrits, le patineur sera expulsé de la glace sans d’autre</w:t>
      </w:r>
      <w:r>
        <w:rPr>
          <w:rFonts w:ascii="Arial" w:hAnsi="Arial" w:cs="Arial"/>
        </w:rPr>
        <w:t>s</w:t>
      </w:r>
      <w:r w:rsidRPr="007071C5">
        <w:rPr>
          <w:rFonts w:ascii="Arial" w:hAnsi="Arial" w:cs="Arial"/>
        </w:rPr>
        <w:t xml:space="preserve"> préavis.  Il </w:t>
      </w:r>
      <w:r>
        <w:rPr>
          <w:rFonts w:ascii="Arial" w:hAnsi="Arial" w:cs="Arial"/>
        </w:rPr>
        <w:t>pourra</w:t>
      </w:r>
      <w:r w:rsidRPr="007071C5">
        <w:rPr>
          <w:rFonts w:ascii="Arial" w:hAnsi="Arial" w:cs="Arial"/>
        </w:rPr>
        <w:t xml:space="preserve"> réintégrer la glace lorsque </w:t>
      </w:r>
      <w:r>
        <w:rPr>
          <w:rFonts w:ascii="Arial" w:hAnsi="Arial" w:cs="Arial"/>
        </w:rPr>
        <w:t xml:space="preserve">le montant total de la cotisation sera acquitté ou qu’une entente sera intervenue entre les deux parties. </w:t>
      </w:r>
      <w:r w:rsidRPr="009D6166">
        <w:rPr>
          <w:rFonts w:ascii="Arial" w:hAnsi="Arial" w:cs="Arial"/>
          <w:b/>
        </w:rPr>
        <w:t>Ve</w:t>
      </w:r>
      <w:r>
        <w:rPr>
          <w:rFonts w:ascii="Arial" w:hAnsi="Arial" w:cs="Arial"/>
          <w:b/>
        </w:rPr>
        <w:t>uillez noter que des frais de 15</w:t>
      </w:r>
      <w:r w:rsidRPr="009D6166">
        <w:rPr>
          <w:rFonts w:ascii="Arial" w:hAnsi="Arial" w:cs="Arial"/>
          <w:b/>
        </w:rPr>
        <w:t xml:space="preserve"> $ seront appliqués pour les chèques sans provision.</w:t>
      </w:r>
    </w:p>
    <w:p w14:paraId="038D3691" w14:textId="77777777" w:rsidR="00B80ADA" w:rsidRDefault="00B80ADA" w:rsidP="00B80ADA">
      <w:pPr>
        <w:spacing w:after="0" w:line="240" w:lineRule="auto"/>
        <w:jc w:val="both"/>
        <w:rPr>
          <w:rFonts w:ascii="Arial" w:hAnsi="Arial" w:cs="Arial"/>
        </w:rPr>
      </w:pPr>
    </w:p>
    <w:p w14:paraId="54730641" w14:textId="78DDD479" w:rsidR="00F00385" w:rsidRDefault="00F00385"/>
    <w:p w14:paraId="712D2735" w14:textId="77777777" w:rsidR="00B80ADA" w:rsidRDefault="00B80ADA"/>
    <w:sectPr w:rsidR="00B80A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DA"/>
    <w:rsid w:val="00B80ADA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F8B7"/>
  <w15:chartTrackingRefBased/>
  <w15:docId w15:val="{7E1C7E95-E167-4424-9E16-87785A51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D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Marieve Perreault</dc:creator>
  <cp:keywords/>
  <dc:description/>
  <cp:lastModifiedBy>Marieve Perreault</cp:lastModifiedBy>
  <cp:revision>1</cp:revision>
  <dcterms:created xsi:type="dcterms:W3CDTF">2021-02-15T15:42:00Z</dcterms:created>
  <dcterms:modified xsi:type="dcterms:W3CDTF">2021-02-15T15:43:00Z</dcterms:modified>
</cp:coreProperties>
</file>